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C439" w14:textId="49A39014" w:rsidR="00A44137" w:rsidRDefault="00F92A19">
      <w:hyperlink r:id="rId4" w:history="1">
        <w:r w:rsidRPr="00F92A19">
          <w:rPr>
            <w:rStyle w:val="Hyperlink"/>
          </w:rPr>
          <w:t>https://pao.nl/cursus-handelingsgerichte-diagnostiek-van-leer-en-gedragsproblemen/</w:t>
        </w:r>
      </w:hyperlink>
    </w:p>
    <w:sectPr w:rsidR="00A4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19"/>
    <w:rsid w:val="00A44137"/>
    <w:rsid w:val="00F9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703E"/>
  <w15:chartTrackingRefBased/>
  <w15:docId w15:val="{09C6754F-6E15-4E81-8D52-0791B671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92A1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2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o.nl/cursus-handelingsgerichte-diagnostiek-van-leer-en-gedragsproblemen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1</cp:revision>
  <dcterms:created xsi:type="dcterms:W3CDTF">2021-05-06T07:59:00Z</dcterms:created>
  <dcterms:modified xsi:type="dcterms:W3CDTF">2021-05-06T08:00:00Z</dcterms:modified>
</cp:coreProperties>
</file>